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9D" w:rsidRDefault="0015569D">
      <w:pPr>
        <w:spacing w:line="500" w:lineRule="exact"/>
        <w:rPr>
          <w:rFonts w:ascii="黑体" w:eastAsia="黑体" w:hAnsi="黑体" w:cs="黑体" w:hint="eastAsia"/>
          <w:sz w:val="28"/>
          <w:szCs w:val="28"/>
        </w:rPr>
      </w:pPr>
      <w:r>
        <w:rPr>
          <w:rFonts w:ascii="黑体" w:eastAsia="黑体" w:hAnsi="黑体" w:cs="黑体" w:hint="eastAsia"/>
          <w:bCs/>
          <w:color w:val="000000"/>
          <w:kern w:val="0"/>
          <w:sz w:val="32"/>
          <w:szCs w:val="32"/>
          <w:lang w:bidi="ar"/>
        </w:rPr>
        <w:t>附件1</w:t>
      </w:r>
    </w:p>
    <w:p w:rsidR="0015569D" w:rsidRDefault="0015569D">
      <w:pPr>
        <w:spacing w:line="500" w:lineRule="exact"/>
        <w:rPr>
          <w:rFonts w:eastAsia="仿宋_GB2312"/>
          <w:sz w:val="28"/>
          <w:szCs w:val="28"/>
        </w:rPr>
      </w:pPr>
    </w:p>
    <w:p w:rsidR="0015569D" w:rsidRDefault="0015569D">
      <w:pPr>
        <w:spacing w:line="500" w:lineRule="exact"/>
        <w:jc w:val="center"/>
        <w:rPr>
          <w:rFonts w:eastAsia="仿宋_GB2312"/>
          <w:sz w:val="28"/>
          <w:szCs w:val="28"/>
        </w:rPr>
      </w:pPr>
      <w:bookmarkStart w:id="0" w:name="_GoBack"/>
      <w:r>
        <w:rPr>
          <w:rFonts w:eastAsia="方正小标宋简体"/>
          <w:bCs/>
          <w:color w:val="000000"/>
          <w:kern w:val="0"/>
          <w:sz w:val="44"/>
          <w:szCs w:val="44"/>
          <w:lang w:bidi="ar"/>
        </w:rPr>
        <w:t>医疗器械分类目录</w:t>
      </w:r>
      <w:r>
        <w:rPr>
          <w:rFonts w:eastAsia="方正小标宋简体" w:hint="eastAsia"/>
          <w:bCs/>
          <w:color w:val="000000"/>
          <w:kern w:val="0"/>
          <w:sz w:val="44"/>
          <w:szCs w:val="44"/>
          <w:lang w:bidi="ar"/>
        </w:rPr>
        <w:t>产品</w:t>
      </w:r>
      <w:r>
        <w:rPr>
          <w:rFonts w:eastAsia="方正小标宋简体"/>
          <w:bCs/>
          <w:color w:val="000000"/>
          <w:kern w:val="0"/>
          <w:sz w:val="44"/>
          <w:szCs w:val="44"/>
          <w:lang w:bidi="ar"/>
        </w:rPr>
        <w:t>管理类别调整意见汇总表</w:t>
      </w:r>
      <w:bookmarkEnd w:id="0"/>
    </w:p>
    <w:p w:rsidR="0015569D" w:rsidRDefault="0015569D">
      <w:pPr>
        <w:spacing w:line="500" w:lineRule="exact"/>
        <w:rPr>
          <w:rFonts w:eastAsia="仿宋_GB2312"/>
          <w:sz w:val="28"/>
          <w:szCs w:val="28"/>
        </w:rPr>
      </w:pPr>
    </w:p>
    <w:tbl>
      <w:tblPr>
        <w:tblW w:w="0" w:type="auto"/>
        <w:jc w:val="center"/>
        <w:tblInd w:w="0" w:type="dxa"/>
        <w:tblLayout w:type="fixed"/>
        <w:tblCellMar>
          <w:top w:w="15" w:type="dxa"/>
          <w:left w:w="15" w:type="dxa"/>
          <w:bottom w:w="15" w:type="dxa"/>
          <w:right w:w="15" w:type="dxa"/>
        </w:tblCellMar>
        <w:tblLook w:val="0000" w:firstRow="0" w:lastRow="0" w:firstColumn="0" w:lastColumn="0" w:noHBand="0" w:noVBand="0"/>
      </w:tblPr>
      <w:tblGrid>
        <w:gridCol w:w="554"/>
        <w:gridCol w:w="914"/>
        <w:gridCol w:w="1109"/>
        <w:gridCol w:w="1124"/>
        <w:gridCol w:w="3420"/>
        <w:gridCol w:w="2606"/>
        <w:gridCol w:w="2640"/>
        <w:gridCol w:w="869"/>
        <w:gridCol w:w="1314"/>
      </w:tblGrid>
      <w:tr w:rsidR="0015569D">
        <w:trPr>
          <w:cantSplit/>
          <w:trHeight w:val="739"/>
          <w:tblHeader/>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spacing w:line="300" w:lineRule="exact"/>
              <w:jc w:val="center"/>
              <w:rPr>
                <w:rFonts w:ascii="黑体" w:eastAsia="黑体" w:hAnsi="黑体" w:cs="黑体" w:hint="eastAsia"/>
                <w:bCs/>
                <w:color w:val="000000"/>
                <w:sz w:val="24"/>
              </w:rPr>
            </w:pP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子目录</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一级产品类别</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二级产品类别</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产品描述</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预期用途</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品名举例</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kern w:val="0"/>
                <w:sz w:val="24"/>
                <w:lang w:bidi="ar"/>
              </w:rPr>
            </w:pPr>
            <w:r>
              <w:rPr>
                <w:rFonts w:ascii="黑体" w:eastAsia="黑体" w:hAnsi="黑体" w:cs="黑体" w:hint="eastAsia"/>
                <w:bCs/>
                <w:color w:val="000000"/>
                <w:kern w:val="0"/>
                <w:sz w:val="24"/>
                <w:lang w:bidi="ar"/>
              </w:rPr>
              <w:t>原管理</w:t>
            </w:r>
          </w:p>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类别</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rFonts w:ascii="黑体" w:eastAsia="黑体" w:hAnsi="黑体" w:cs="黑体" w:hint="eastAsia"/>
                <w:bCs/>
                <w:color w:val="000000"/>
                <w:kern w:val="0"/>
                <w:sz w:val="24"/>
                <w:lang w:bidi="ar"/>
              </w:rPr>
            </w:pPr>
            <w:r>
              <w:rPr>
                <w:rFonts w:ascii="黑体" w:eastAsia="黑体" w:hAnsi="黑体" w:cs="黑体" w:hint="eastAsia"/>
                <w:bCs/>
                <w:color w:val="000000"/>
                <w:kern w:val="0"/>
                <w:sz w:val="24"/>
                <w:lang w:bidi="ar"/>
              </w:rPr>
              <w:t>调整后</w:t>
            </w:r>
          </w:p>
          <w:p w:rsidR="0015569D" w:rsidRDefault="0015569D">
            <w:pPr>
              <w:widowControl/>
              <w:spacing w:line="300" w:lineRule="exact"/>
              <w:jc w:val="center"/>
              <w:textAlignment w:val="center"/>
              <w:rPr>
                <w:rFonts w:ascii="黑体" w:eastAsia="黑体" w:hAnsi="黑体" w:cs="黑体" w:hint="eastAsia"/>
                <w:bCs/>
                <w:color w:val="000000"/>
                <w:sz w:val="24"/>
              </w:rPr>
            </w:pPr>
            <w:r>
              <w:rPr>
                <w:rFonts w:ascii="黑体" w:eastAsia="黑体" w:hAnsi="黑体" w:cs="黑体" w:hint="eastAsia"/>
                <w:bCs/>
                <w:color w:val="000000"/>
                <w:kern w:val="0"/>
                <w:sz w:val="24"/>
                <w:lang w:bidi="ar"/>
              </w:rPr>
              <w:t>管理类别</w:t>
            </w:r>
          </w:p>
        </w:tc>
      </w:tr>
      <w:tr w:rsidR="0015569D">
        <w:trPr>
          <w:cantSplit/>
          <w:trHeight w:val="202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有源手术器械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09-</w:t>
            </w:r>
            <w:r>
              <w:rPr>
                <w:color w:val="000000"/>
                <w:kern w:val="0"/>
                <w:sz w:val="20"/>
                <w:szCs w:val="20"/>
                <w:lang w:bidi="ar"/>
              </w:rPr>
              <w:t>内窥镜手术用有源设备</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内窥镜手术用有源设备</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在内窥镜手术中，以治疗为目的，需要电源实现手术功能的医疗设备。其应用部分通常由通过和内窥镜相同的或不同的通道进入人体（超声、高频、妇产科用除外）。</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用于在内窥镜手术中，实现绞碎或切除组织等手术功能。</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刨削系统、鼻窦电动手术刀、手术吸引切割器、关节镜刨削手机、鼻窦手术动力装置</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1472"/>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2</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医用成像器械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诊断</w:t>
            </w:r>
            <w:r>
              <w:rPr>
                <w:color w:val="000000"/>
                <w:kern w:val="0"/>
                <w:sz w:val="20"/>
                <w:szCs w:val="20"/>
                <w:lang w:bidi="ar"/>
              </w:rPr>
              <w:t>X</w:t>
            </w:r>
            <w:r>
              <w:rPr>
                <w:color w:val="000000"/>
                <w:kern w:val="0"/>
                <w:sz w:val="20"/>
                <w:szCs w:val="20"/>
                <w:lang w:bidi="ar"/>
              </w:rPr>
              <w:t>射线机</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02-</w:t>
            </w:r>
            <w:r>
              <w:rPr>
                <w:color w:val="000000"/>
                <w:kern w:val="0"/>
                <w:sz w:val="20"/>
                <w:szCs w:val="20"/>
                <w:lang w:bidi="ar"/>
              </w:rPr>
              <w:t>泌尿</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射线机</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射线发生装置、图像显示系统、专用泌尿床组成。</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射线透视摄影设备。</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用于泌尿科、妇科、胃肠道等</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射线透视和摄影，获得影像供临床诊断用。</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泌尿</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射线机</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2201"/>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3</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医用成像器械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诊断</w:t>
            </w:r>
            <w:r>
              <w:rPr>
                <w:color w:val="000000"/>
                <w:kern w:val="0"/>
                <w:sz w:val="20"/>
                <w:szCs w:val="20"/>
                <w:lang w:bidi="ar"/>
              </w:rPr>
              <w:t>X</w:t>
            </w:r>
            <w:r>
              <w:rPr>
                <w:color w:val="000000"/>
                <w:kern w:val="0"/>
                <w:sz w:val="20"/>
                <w:szCs w:val="20"/>
                <w:lang w:bidi="ar"/>
              </w:rPr>
              <w:t>射线机</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 xml:space="preserve">04 </w:t>
            </w:r>
            <w:r>
              <w:rPr>
                <w:color w:val="000000"/>
                <w:kern w:val="0"/>
                <w:sz w:val="20"/>
                <w:szCs w:val="20"/>
                <w:lang w:bidi="ar"/>
              </w:rPr>
              <w:t>口腔</w:t>
            </w:r>
            <w:r>
              <w:rPr>
                <w:color w:val="000000"/>
                <w:kern w:val="0"/>
                <w:sz w:val="20"/>
                <w:szCs w:val="20"/>
                <w:lang w:bidi="ar"/>
              </w:rPr>
              <w:t>X</w:t>
            </w:r>
            <w:r>
              <w:rPr>
                <w:color w:val="000000"/>
                <w:kern w:val="0"/>
                <w:sz w:val="20"/>
                <w:szCs w:val="20"/>
                <w:lang w:bidi="ar"/>
              </w:rPr>
              <w:t>射线机</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射线发生装置、狭缝光阑和口外影像接收器组成。</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射线发生装置和口外影像接收器之间相对运动。</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用于口腔颌面部（包括如上下颌骨、上颌窦、颞下颌关节及牙齿部位）的曲面断层成像，可能带有头颅侧位成像功能，供临床诊断用。</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口腔全景</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射线机、口腔颌面全景</w:t>
            </w:r>
            <w:r>
              <w:rPr>
                <w:rStyle w:val="font11"/>
                <w:rFonts w:ascii="Times New Roman" w:hAnsi="Times New Roman" w:cs="Times New Roman" w:hint="default"/>
                <w:lang w:bidi="ar"/>
              </w:rPr>
              <w:t>X</w:t>
            </w:r>
            <w:r>
              <w:rPr>
                <w:rStyle w:val="font11"/>
                <w:rFonts w:ascii="Times New Roman" w:hAnsi="Times New Roman" w:cs="Times New Roman" w:hint="default"/>
                <w:lang w:bidi="ar"/>
              </w:rPr>
              <w:t>射线机</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2281"/>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lastRenderedPageBreak/>
              <w:t>4</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医用成像器械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14-</w:t>
            </w:r>
            <w:r>
              <w:rPr>
                <w:color w:val="000000"/>
                <w:kern w:val="0"/>
                <w:sz w:val="20"/>
                <w:szCs w:val="20"/>
                <w:lang w:bidi="ar"/>
              </w:rPr>
              <w:t>医用内窥镜</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光学内窥镜</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通常由物镜系统和光学传</w:t>
            </w:r>
            <w:r>
              <w:rPr>
                <w:rStyle w:val="font11"/>
                <w:rFonts w:ascii="Times New Roman" w:hAnsi="Times New Roman" w:cs="Times New Roman" w:hint="default"/>
                <w:lang w:bidi="ar"/>
              </w:rPr>
              <w:t>/</w:t>
            </w:r>
            <w:r>
              <w:rPr>
                <w:rStyle w:val="font11"/>
                <w:rFonts w:ascii="Times New Roman" w:hAnsi="Times New Roman" w:cs="Times New Roman" w:hint="default"/>
                <w:lang w:bidi="ar"/>
              </w:rPr>
              <w:t>转像系统，含有或不含有观察目镜系统构成观察光路的内窥镜。可包含附件。附件是配合内窥镜使用的配件或独立产品。</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通过创口进入人体内，用于成像和诊断。</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胆道镜、腹腔镜、关节镜、脊柱外科内窥镜、颈椎内窥镜、血管内窥镜、脑室镜、三维腹腔镜、膝关节镜、胸腔镜、血管采集用内窥镜、腰椎间盘镜、椎间孔镜、椎间盘镜、胆胰管内窥镜、肾镜、输尿管镜、硬膜外腔内窥镜</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2219"/>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5</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医用成像器械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14-</w:t>
            </w:r>
            <w:r>
              <w:rPr>
                <w:color w:val="000000"/>
                <w:kern w:val="0"/>
                <w:sz w:val="20"/>
                <w:szCs w:val="20"/>
                <w:lang w:bidi="ar"/>
              </w:rPr>
              <w:t>医用内窥镜</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03-</w:t>
            </w:r>
            <w:r>
              <w:rPr>
                <w:color w:val="000000"/>
                <w:kern w:val="0"/>
                <w:sz w:val="20"/>
                <w:szCs w:val="20"/>
                <w:lang w:bidi="ar"/>
              </w:rPr>
              <w:t>电子内窥镜</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通常由物镜系统、像阵面光电传感器、</w:t>
            </w:r>
            <w:r>
              <w:rPr>
                <w:color w:val="000000"/>
                <w:kern w:val="0"/>
                <w:sz w:val="20"/>
                <w:szCs w:val="20"/>
                <w:lang w:bidi="ar"/>
              </w:rPr>
              <w:t>A/D</w:t>
            </w:r>
            <w:r>
              <w:rPr>
                <w:color w:val="000000"/>
                <w:kern w:val="0"/>
                <w:sz w:val="20"/>
                <w:szCs w:val="20"/>
                <w:lang w:bidi="ar"/>
              </w:rPr>
              <w:t>转换集成模块组成。将所要观察的腔内物体通过微小的物镜系统成像到像阵面光电传感器上，然后将接收到的图像信号送到</w:t>
            </w:r>
            <w:r>
              <w:rPr>
                <w:rFonts w:hint="eastAsia"/>
                <w:color w:val="000000"/>
                <w:kern w:val="0"/>
                <w:sz w:val="20"/>
                <w:szCs w:val="20"/>
                <w:lang w:bidi="ar"/>
              </w:rPr>
              <w:t xml:space="preserve"> </w:t>
            </w:r>
            <w:r>
              <w:rPr>
                <w:color w:val="000000"/>
                <w:kern w:val="0"/>
                <w:sz w:val="20"/>
                <w:szCs w:val="20"/>
                <w:lang w:bidi="ar"/>
              </w:rPr>
              <w:t>图像处理系统上，最后在监视器上输出处理后的图像。</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通过创口或自然孔道进入人体内，用于成像和诊断。</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电子腹腔镜、电子喉镜、电子鼻咽喉内窥镜、电子肛肠镜、电子小肠镜系统、电子膀胱镜、电子膀胱肾盂镜、电子大肠镜、电子胆道镜、电子结肠镜、电子气管插管镜、电子十二指肠镜、电子胃镜、电子胸腹腔镜</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1384"/>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6</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医用成像器械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16-</w:t>
            </w:r>
            <w:r>
              <w:rPr>
                <w:color w:val="000000"/>
                <w:kern w:val="0"/>
                <w:sz w:val="20"/>
                <w:szCs w:val="20"/>
                <w:lang w:bidi="ar"/>
              </w:rPr>
              <w:t>内窥镜辅助用品</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rStyle w:val="font11"/>
                <w:rFonts w:ascii="Times New Roman" w:hAnsi="Times New Roman" w:cs="Times New Roman" w:hint="default"/>
                <w:lang w:bidi="ar"/>
              </w:rPr>
              <w:t>内窥镜插入形状观测系统</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通过体外检测内置于内镜或内镜钳子管道内的插入形状观测探头的电磁发生线圈产生的磁场，从而在显示器上显示出体腔内内镜的</w:t>
            </w:r>
            <w:r>
              <w:rPr>
                <w:rStyle w:val="font11"/>
                <w:rFonts w:ascii="Times New Roman" w:hAnsi="Times New Roman" w:cs="Times New Roman" w:hint="default"/>
                <w:lang w:bidi="ar"/>
              </w:rPr>
              <w:t>3D</w:t>
            </w:r>
            <w:r>
              <w:rPr>
                <w:rStyle w:val="font11"/>
                <w:rFonts w:ascii="Times New Roman" w:hAnsi="Times New Roman" w:cs="Times New Roman" w:hint="default"/>
                <w:lang w:bidi="ar"/>
              </w:rPr>
              <w:t>形状。</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用于观察和显示所插入内窥镜的位置和形状，以便辅助内窥镜插入。一般需配合专用内镜或探头。</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内窥镜插入形状观测系统</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r>
      <w:tr w:rsidR="0015569D">
        <w:trPr>
          <w:cantSplit/>
          <w:trHeight w:val="932"/>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7</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16-</w:t>
            </w:r>
            <w:r>
              <w:rPr>
                <w:color w:val="000000"/>
                <w:kern w:val="0"/>
                <w:sz w:val="20"/>
                <w:szCs w:val="20"/>
                <w:lang w:bidi="ar"/>
              </w:rPr>
              <w:t>眼科器械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04</w:t>
            </w:r>
            <w:r>
              <w:rPr>
                <w:rStyle w:val="font21"/>
                <w:rFonts w:ascii="Times New Roman" w:hAnsi="Times New Roman" w:cs="Times New Roman" w:hint="default"/>
                <w:lang w:bidi="ar"/>
              </w:rPr>
              <w:t>-</w:t>
            </w:r>
            <w:r>
              <w:rPr>
                <w:rStyle w:val="font21"/>
                <w:rFonts w:ascii="Times New Roman" w:hAnsi="Times New Roman" w:cs="Times New Roman" w:hint="default"/>
                <w:lang w:bidi="ar"/>
              </w:rPr>
              <w:t>眼科测量诊断设备和器具</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18</w:t>
            </w:r>
            <w:r>
              <w:rPr>
                <w:rStyle w:val="font21"/>
                <w:rFonts w:ascii="Times New Roman" w:hAnsi="Times New Roman" w:cs="Times New Roman" w:hint="default"/>
                <w:lang w:bidi="ar"/>
              </w:rPr>
              <w:t>-</w:t>
            </w:r>
            <w:r>
              <w:rPr>
                <w:rStyle w:val="font21"/>
                <w:rFonts w:ascii="Times New Roman" w:hAnsi="Times New Roman" w:cs="Times New Roman" w:hint="default"/>
                <w:lang w:bidi="ar"/>
              </w:rPr>
              <w:t>眼球突出计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通常由左右棱镜座、导向横杆、活动支座、固定支座等部件组成。</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用于检查眼球角膜顶突出眶缘高度。</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眼球突出计</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Ⅰ</w:t>
            </w:r>
          </w:p>
        </w:tc>
      </w:tr>
      <w:tr w:rsidR="0015569D">
        <w:trPr>
          <w:cantSplit/>
          <w:trHeight w:val="133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lastRenderedPageBreak/>
              <w:t>8</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17</w:t>
            </w:r>
            <w:r>
              <w:rPr>
                <w:rStyle w:val="font11"/>
                <w:rFonts w:ascii="Times New Roman" w:hAnsi="Times New Roman" w:cs="Times New Roman" w:hint="default"/>
                <w:lang w:bidi="ar"/>
              </w:rPr>
              <w:t>-</w:t>
            </w:r>
            <w:r>
              <w:rPr>
                <w:rStyle w:val="font11"/>
                <w:rFonts w:ascii="Times New Roman" w:hAnsi="Times New Roman" w:cs="Times New Roman" w:hint="default"/>
                <w:lang w:bidi="ar"/>
              </w:rPr>
              <w:t>口腔科器械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02</w:t>
            </w:r>
            <w:r>
              <w:rPr>
                <w:rStyle w:val="font11"/>
                <w:rFonts w:ascii="Times New Roman" w:hAnsi="Times New Roman" w:cs="Times New Roman" w:hint="default"/>
                <w:lang w:bidi="ar"/>
              </w:rPr>
              <w:t>-</w:t>
            </w:r>
            <w:r>
              <w:rPr>
                <w:rStyle w:val="font11"/>
                <w:rFonts w:ascii="Times New Roman" w:hAnsi="Times New Roman" w:cs="Times New Roman" w:hint="default"/>
                <w:lang w:bidi="ar"/>
              </w:rPr>
              <w:t>口腔诊察器具</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03</w:t>
            </w:r>
            <w:r>
              <w:rPr>
                <w:rStyle w:val="font11"/>
                <w:rFonts w:ascii="Times New Roman" w:hAnsi="Times New Roman" w:cs="Times New Roman" w:hint="default"/>
                <w:lang w:bidi="ar"/>
              </w:rPr>
              <w:t>-</w:t>
            </w:r>
            <w:r>
              <w:rPr>
                <w:rStyle w:val="font11"/>
                <w:rFonts w:ascii="Times New Roman" w:hAnsi="Times New Roman" w:cs="Times New Roman" w:hint="default"/>
                <w:lang w:bidi="ar"/>
              </w:rPr>
              <w:t>口腔成像辅助器具</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通常由喷粉器主体和喷头组成。不与患者口腔等部位直接接触。喷头一般采用不锈钢材料制成。非无菌提供。可重复使用。有源产品。不含有喷粉。</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配合光学扫描仪使用，用于扫描前将口腔成像用光学喷粉喷覆至牙齿和口腔黏膜部位。</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牙科光学喷粉器</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Ⅰ</w:t>
            </w:r>
          </w:p>
        </w:tc>
      </w:tr>
      <w:tr w:rsidR="0015569D">
        <w:trPr>
          <w:cantSplit/>
          <w:trHeight w:val="103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9</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17</w:t>
            </w:r>
            <w:r>
              <w:rPr>
                <w:rStyle w:val="font11"/>
                <w:rFonts w:ascii="Times New Roman" w:hAnsi="Times New Roman" w:cs="Times New Roman" w:hint="default"/>
                <w:lang w:bidi="ar"/>
              </w:rPr>
              <w:t>-</w:t>
            </w:r>
            <w:r>
              <w:rPr>
                <w:rStyle w:val="font11"/>
                <w:rFonts w:ascii="Times New Roman" w:hAnsi="Times New Roman" w:cs="Times New Roman" w:hint="default"/>
                <w:lang w:bidi="ar"/>
              </w:rPr>
              <w:t>口腔科器械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03</w:t>
            </w:r>
            <w:r>
              <w:rPr>
                <w:rStyle w:val="font11"/>
                <w:rFonts w:ascii="Times New Roman" w:hAnsi="Times New Roman" w:cs="Times New Roman" w:hint="default"/>
                <w:lang w:bidi="ar"/>
              </w:rPr>
              <w:t>-</w:t>
            </w:r>
            <w:r>
              <w:rPr>
                <w:rStyle w:val="font11"/>
                <w:rFonts w:ascii="Times New Roman" w:hAnsi="Times New Roman" w:cs="Times New Roman" w:hint="default"/>
                <w:lang w:bidi="ar"/>
              </w:rPr>
              <w:t>口腔治疗设备</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07</w:t>
            </w:r>
            <w:r>
              <w:rPr>
                <w:rStyle w:val="font11"/>
                <w:rFonts w:ascii="Times New Roman" w:hAnsi="Times New Roman" w:cs="Times New Roman" w:hint="default"/>
                <w:lang w:bidi="ar"/>
              </w:rPr>
              <w:t>-</w:t>
            </w:r>
            <w:r>
              <w:rPr>
                <w:rStyle w:val="font11"/>
                <w:rFonts w:ascii="Times New Roman" w:hAnsi="Times New Roman" w:cs="Times New Roman" w:hint="default"/>
                <w:lang w:bidi="ar"/>
              </w:rPr>
              <w:t>种植用设备</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通常由传感器、</w:t>
            </w:r>
            <w:r>
              <w:rPr>
                <w:color w:val="000000"/>
                <w:kern w:val="0"/>
                <w:sz w:val="20"/>
                <w:szCs w:val="20"/>
                <w:lang w:bidi="ar"/>
              </w:rPr>
              <w:t>LED</w:t>
            </w:r>
            <w:r>
              <w:rPr>
                <w:color w:val="000000"/>
                <w:kern w:val="0"/>
                <w:sz w:val="20"/>
                <w:szCs w:val="20"/>
                <w:lang w:bidi="ar"/>
              </w:rPr>
              <w:t>指示灯、手柄和标记探针组成。通过感应金属种植体，由指示灯提示，确定种植体的位置。</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用于探测定位包埋在牙龈下方的种植体位置。</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种植体定位器</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Ⅰ</w:t>
            </w:r>
          </w:p>
        </w:tc>
      </w:tr>
      <w:tr w:rsidR="0015569D">
        <w:trPr>
          <w:cantSplit/>
          <w:trHeight w:val="103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rFonts w:hint="eastAsia"/>
                <w:color w:val="000000"/>
                <w:kern w:val="0"/>
                <w:sz w:val="20"/>
                <w:szCs w:val="20"/>
                <w:lang w:bidi="ar"/>
              </w:rPr>
              <w:t>10</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 xml:space="preserve">18 </w:t>
            </w:r>
            <w:r>
              <w:rPr>
                <w:color w:val="000000"/>
                <w:kern w:val="0"/>
                <w:sz w:val="20"/>
                <w:szCs w:val="20"/>
                <w:lang w:bidi="ar"/>
              </w:rPr>
              <w:t>妇产科、辅助生殖和避孕器械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rFonts w:hint="eastAsia"/>
                <w:color w:val="000000"/>
                <w:kern w:val="0"/>
                <w:sz w:val="20"/>
                <w:szCs w:val="20"/>
                <w:lang w:bidi="ar"/>
              </w:rPr>
              <w:t>03-</w:t>
            </w:r>
            <w:r>
              <w:rPr>
                <w:rFonts w:hint="eastAsia"/>
                <w:color w:val="000000"/>
                <w:kern w:val="0"/>
                <w:sz w:val="20"/>
                <w:szCs w:val="20"/>
                <w:lang w:bidi="ar"/>
              </w:rPr>
              <w:t>妇产科诊断器械</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 xml:space="preserve">03 </w:t>
            </w:r>
            <w:r>
              <w:rPr>
                <w:color w:val="000000"/>
                <w:kern w:val="0"/>
                <w:sz w:val="20"/>
                <w:szCs w:val="20"/>
                <w:lang w:bidi="ar"/>
              </w:rPr>
              <w:t>妇科内窥镜</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通常由物镜系统、像阵面光电传感器、</w:t>
            </w:r>
            <w:r>
              <w:rPr>
                <w:color w:val="000000"/>
                <w:kern w:val="0"/>
                <w:sz w:val="20"/>
                <w:szCs w:val="20"/>
                <w:lang w:bidi="ar"/>
              </w:rPr>
              <w:t>A/D</w:t>
            </w:r>
            <w:r>
              <w:rPr>
                <w:color w:val="000000"/>
                <w:kern w:val="0"/>
                <w:sz w:val="20"/>
                <w:szCs w:val="20"/>
                <w:lang w:bidi="ar"/>
              </w:rPr>
              <w:t>转换集成模块组成</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通过宫颈进入宫腔内，用于诊断和</w:t>
            </w:r>
            <w:r>
              <w:rPr>
                <w:color w:val="000000"/>
                <w:kern w:val="0"/>
                <w:sz w:val="20"/>
                <w:szCs w:val="20"/>
                <w:lang w:bidi="ar"/>
              </w:rPr>
              <w:t>/</w:t>
            </w:r>
            <w:r>
              <w:rPr>
                <w:color w:val="000000"/>
                <w:kern w:val="0"/>
                <w:sz w:val="20"/>
                <w:szCs w:val="20"/>
                <w:lang w:bidi="ar"/>
              </w:rPr>
              <w:t>或手术</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电子阴道内窥镜、数码电子阴道内窥镜、无线可视阴道内窥镜、无线可视子宫内窥镜、纤维阴道镜、宫腔电切内窥镜</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Ⅲ</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kern w:val="0"/>
                <w:sz w:val="20"/>
                <w:szCs w:val="20"/>
                <w:lang w:bidi="ar"/>
              </w:rPr>
            </w:pPr>
            <w:r>
              <w:rPr>
                <w:color w:val="000000"/>
                <w:kern w:val="0"/>
                <w:sz w:val="20"/>
                <w:szCs w:val="20"/>
                <w:lang w:bidi="ar"/>
              </w:rPr>
              <w:t>Ⅱ</w:t>
            </w:r>
          </w:p>
        </w:tc>
      </w:tr>
      <w:tr w:rsidR="0015569D">
        <w:trPr>
          <w:cantSplit/>
          <w:trHeight w:val="1438"/>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w:t>
            </w:r>
            <w:r>
              <w:rPr>
                <w:rFonts w:hint="eastAsia"/>
                <w:color w:val="000000"/>
                <w:kern w:val="0"/>
                <w:sz w:val="20"/>
                <w:szCs w:val="20"/>
                <w:lang w:bidi="ar"/>
              </w:rPr>
              <w:t>1</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22</w:t>
            </w:r>
            <w:r>
              <w:rPr>
                <w:rStyle w:val="font11"/>
                <w:rFonts w:ascii="Times New Roman" w:hAnsi="Times New Roman" w:cs="Times New Roman" w:hint="default"/>
                <w:lang w:bidi="ar"/>
              </w:rPr>
              <w:t>-</w:t>
            </w:r>
            <w:r>
              <w:rPr>
                <w:rStyle w:val="font11"/>
                <w:rFonts w:ascii="Times New Roman" w:hAnsi="Times New Roman" w:cs="Times New Roman" w:hint="default"/>
                <w:lang w:bidi="ar"/>
              </w:rPr>
              <w:t>临床检验器械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血液学分析设备</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07-</w:t>
            </w:r>
            <w:r>
              <w:rPr>
                <w:color w:val="000000"/>
                <w:kern w:val="0"/>
                <w:sz w:val="20"/>
                <w:szCs w:val="20"/>
                <w:lang w:bidi="ar"/>
              </w:rPr>
              <w:t>红细胞沉降仪器</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通常由机械模块、光学模块或激光扫描模块、数据处理换算模块等组成。原理一般为光学法或激光扫描微量全血法等。</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用于血液样品红细胞沉降速度和</w:t>
            </w:r>
            <w:r>
              <w:rPr>
                <w:color w:val="000000"/>
                <w:kern w:val="0"/>
                <w:sz w:val="20"/>
                <w:szCs w:val="20"/>
                <w:lang w:bidi="ar"/>
              </w:rPr>
              <w:t>/</w:t>
            </w:r>
            <w:r>
              <w:rPr>
                <w:color w:val="000000"/>
                <w:kern w:val="0"/>
                <w:sz w:val="20"/>
                <w:szCs w:val="20"/>
                <w:lang w:bidi="ar"/>
              </w:rPr>
              <w:t>或压积的测量。</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红细胞沉降压积仪、全自动血沉分析仪、全自动动态血沉分析仪、动态血沉压积测试仪、全自动红细胞沉降率测定仪</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I</w:t>
            </w:r>
          </w:p>
        </w:tc>
      </w:tr>
      <w:tr w:rsidR="0015569D">
        <w:trPr>
          <w:cantSplit/>
          <w:trHeight w:val="1080"/>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w:t>
            </w:r>
            <w:r>
              <w:rPr>
                <w:rFonts w:hint="eastAsia"/>
                <w:color w:val="000000"/>
                <w:kern w:val="0"/>
                <w:sz w:val="20"/>
                <w:szCs w:val="20"/>
                <w:lang w:bidi="ar"/>
              </w:rPr>
              <w:t>2</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22</w:t>
            </w:r>
            <w:r>
              <w:rPr>
                <w:rStyle w:val="font11"/>
                <w:rFonts w:ascii="Times New Roman" w:hAnsi="Times New Roman" w:cs="Times New Roman" w:hint="default"/>
                <w:lang w:bidi="ar"/>
              </w:rPr>
              <w:t>-</w:t>
            </w:r>
            <w:r>
              <w:rPr>
                <w:rStyle w:val="font11"/>
                <w:rFonts w:ascii="Times New Roman" w:hAnsi="Times New Roman" w:cs="Times New Roman" w:hint="default"/>
                <w:lang w:bidi="ar"/>
              </w:rPr>
              <w:t>临床检验器械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06-</w:t>
            </w:r>
            <w:r>
              <w:rPr>
                <w:color w:val="000000"/>
                <w:kern w:val="0"/>
                <w:sz w:val="20"/>
                <w:szCs w:val="20"/>
                <w:lang w:bidi="ar"/>
              </w:rPr>
              <w:t>微生物分析设备</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微生物比浊仪器</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通常由光源模块、光电检测器模块、校准模块等组成。原理一般为浊度法。</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用于测量微生物悬液的光密度，按麦氏浊度确定微生物的接种浓度等。</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微生物比浊仪、比浊仪、电子比浊仪、浊度计</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I</w:t>
            </w:r>
          </w:p>
        </w:tc>
      </w:tr>
      <w:tr w:rsidR="0015569D">
        <w:trPr>
          <w:cantSplit/>
          <w:trHeight w:val="1336"/>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w:t>
            </w:r>
            <w:r>
              <w:rPr>
                <w:rFonts w:hint="eastAsia"/>
                <w:color w:val="000000"/>
                <w:kern w:val="0"/>
                <w:sz w:val="20"/>
                <w:szCs w:val="20"/>
                <w:lang w:bidi="ar"/>
              </w:rPr>
              <w:t>3</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22</w:t>
            </w:r>
            <w:r>
              <w:rPr>
                <w:rStyle w:val="font11"/>
                <w:rFonts w:ascii="Times New Roman" w:hAnsi="Times New Roman" w:cs="Times New Roman" w:hint="default"/>
                <w:lang w:bidi="ar"/>
              </w:rPr>
              <w:t>-</w:t>
            </w:r>
            <w:r>
              <w:rPr>
                <w:rStyle w:val="font11"/>
                <w:rFonts w:ascii="Times New Roman" w:hAnsi="Times New Roman" w:cs="Times New Roman" w:hint="default"/>
                <w:lang w:bidi="ar"/>
              </w:rPr>
              <w:t>临床检验器械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07-</w:t>
            </w:r>
            <w:r>
              <w:rPr>
                <w:color w:val="000000"/>
                <w:kern w:val="0"/>
                <w:sz w:val="20"/>
                <w:szCs w:val="20"/>
                <w:lang w:bidi="ar"/>
              </w:rPr>
              <w:t>扫描图像分析系统</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01-</w:t>
            </w:r>
            <w:r>
              <w:rPr>
                <w:color w:val="000000"/>
                <w:kern w:val="0"/>
                <w:sz w:val="20"/>
                <w:szCs w:val="20"/>
                <w:lang w:bidi="ar"/>
              </w:rPr>
              <w:t>医用显微镜</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通常由观察系统、照明系统和载物台组成。观察系统是具有目镜、物镜的光学显微系统，可外接图像采集显示系统。利用显微放大原理，观察物体细节。</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用于对临床样本的显微放大观察。</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生物显微镜、超倍生物显微系统、倒置生物显微镜、正置生物显微镜、数码生物显微镜、光学生物显微镜、</w:t>
            </w:r>
            <w:r>
              <w:rPr>
                <w:color w:val="000000"/>
                <w:sz w:val="20"/>
                <w:szCs w:val="20"/>
              </w:rPr>
              <w:t>LED</w:t>
            </w:r>
            <w:r>
              <w:rPr>
                <w:color w:val="000000"/>
                <w:sz w:val="20"/>
                <w:szCs w:val="20"/>
              </w:rPr>
              <w:t>生物显微镜、荧光生物显微镜</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I</w:t>
            </w:r>
          </w:p>
        </w:tc>
      </w:tr>
      <w:tr w:rsidR="0015569D">
        <w:trPr>
          <w:cantSplit/>
          <w:trHeight w:val="795"/>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lastRenderedPageBreak/>
              <w:t>14</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22</w:t>
            </w:r>
            <w:r>
              <w:rPr>
                <w:color w:val="000000"/>
                <w:kern w:val="0"/>
                <w:sz w:val="20"/>
                <w:szCs w:val="20"/>
                <w:lang w:bidi="ar"/>
              </w:rPr>
              <w:t>临床检验器械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11-</w:t>
            </w:r>
            <w:r>
              <w:rPr>
                <w:color w:val="000000"/>
                <w:kern w:val="0"/>
                <w:sz w:val="20"/>
                <w:szCs w:val="20"/>
                <w:lang w:bidi="ar"/>
              </w:rPr>
              <w:t>采样设备和器具</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07-</w:t>
            </w:r>
            <w:r>
              <w:rPr>
                <w:color w:val="000000"/>
                <w:kern w:val="0"/>
                <w:sz w:val="20"/>
                <w:szCs w:val="20"/>
                <w:lang w:bidi="ar"/>
              </w:rPr>
              <w:t>血液采集卡</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通常采用滤纸制成，卡上有专用染料绘制的圆圈用于标记样品位置。</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用于采集人体末梢血。</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新生儿血液采集卡</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I</w:t>
            </w:r>
          </w:p>
        </w:tc>
      </w:tr>
      <w:tr w:rsidR="0015569D">
        <w:trPr>
          <w:cantSplit/>
          <w:trHeight w:val="1321"/>
          <w:jc w:val="center"/>
        </w:trPr>
        <w:tc>
          <w:tcPr>
            <w:tcW w:w="55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15</w:t>
            </w:r>
          </w:p>
        </w:tc>
        <w:tc>
          <w:tcPr>
            <w:tcW w:w="9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22</w:t>
            </w:r>
            <w:r>
              <w:rPr>
                <w:rStyle w:val="font11"/>
                <w:rFonts w:ascii="Times New Roman" w:hAnsi="Times New Roman" w:cs="Times New Roman" w:hint="default"/>
                <w:lang w:bidi="ar"/>
              </w:rPr>
              <w:t>-</w:t>
            </w:r>
            <w:r>
              <w:rPr>
                <w:rStyle w:val="font11"/>
                <w:rFonts w:ascii="Times New Roman" w:hAnsi="Times New Roman" w:cs="Times New Roman" w:hint="default"/>
                <w:lang w:bidi="ar"/>
              </w:rPr>
              <w:t>临床检验器械</w:t>
            </w:r>
          </w:p>
        </w:tc>
        <w:tc>
          <w:tcPr>
            <w:tcW w:w="1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15-</w:t>
            </w:r>
            <w:r>
              <w:rPr>
                <w:color w:val="000000"/>
                <w:kern w:val="0"/>
                <w:sz w:val="20"/>
                <w:szCs w:val="20"/>
                <w:lang w:bidi="ar"/>
              </w:rPr>
              <w:t>检验及其他辅助设备</w:t>
            </w:r>
          </w:p>
        </w:tc>
        <w:tc>
          <w:tcPr>
            <w:tcW w:w="112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02-</w:t>
            </w:r>
            <w:r>
              <w:rPr>
                <w:color w:val="000000"/>
                <w:kern w:val="0"/>
                <w:sz w:val="20"/>
                <w:szCs w:val="20"/>
                <w:lang w:bidi="ar"/>
              </w:rPr>
              <w:t>计数板</w:t>
            </w:r>
          </w:p>
        </w:tc>
        <w:tc>
          <w:tcPr>
            <w:tcW w:w="3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通常由玻璃或有机玻璃制成，其上有精确刻度标识。</w:t>
            </w:r>
          </w:p>
        </w:tc>
        <w:tc>
          <w:tcPr>
            <w:tcW w:w="260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用于临床对血液、体液样本中有形成分进行计数。</w:t>
            </w:r>
          </w:p>
        </w:tc>
        <w:tc>
          <w:tcPr>
            <w:tcW w:w="264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sz w:val="20"/>
                <w:szCs w:val="20"/>
              </w:rPr>
              <w:t>血细胞计数板、细胞计数板、尿沉渣计数板、血沉管</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Ⅱ</w:t>
            </w:r>
          </w:p>
        </w:tc>
        <w:tc>
          <w:tcPr>
            <w:tcW w:w="13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5569D" w:rsidRDefault="0015569D">
            <w:pPr>
              <w:widowControl/>
              <w:spacing w:line="300" w:lineRule="exact"/>
              <w:jc w:val="center"/>
              <w:textAlignment w:val="center"/>
              <w:rPr>
                <w:color w:val="000000"/>
                <w:sz w:val="20"/>
                <w:szCs w:val="20"/>
              </w:rPr>
            </w:pPr>
            <w:r>
              <w:rPr>
                <w:color w:val="000000"/>
                <w:kern w:val="0"/>
                <w:sz w:val="20"/>
                <w:szCs w:val="20"/>
                <w:lang w:bidi="ar"/>
              </w:rPr>
              <w:t>I</w:t>
            </w:r>
          </w:p>
        </w:tc>
      </w:tr>
    </w:tbl>
    <w:p w:rsidR="0015569D" w:rsidRDefault="0015569D" w:rsidP="006B51D7">
      <w:pPr>
        <w:spacing w:line="500" w:lineRule="exact"/>
        <w:rPr>
          <w:rFonts w:ascii="仿宋_GB2312" w:eastAsia="仿宋_GB2312" w:hAnsi="仿宋" w:hint="eastAsia"/>
          <w:sz w:val="28"/>
          <w:szCs w:val="28"/>
        </w:rPr>
      </w:pPr>
    </w:p>
    <w:sectPr w:rsidR="0015569D" w:rsidSect="006B51D7">
      <w:footerReference w:type="even" r:id="rId7"/>
      <w:footerReference w:type="default" r:id="rId8"/>
      <w:pgSz w:w="16838" w:h="11906" w:orient="landscape"/>
      <w:pgMar w:top="1531" w:right="1928" w:bottom="1531" w:left="1701" w:header="851" w:footer="1134" w:gutter="0"/>
      <w:cols w:space="720"/>
      <w:docGrid w:type="linesAndChars" w:linePitch="315"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7D5" w:rsidRDefault="005427D5">
      <w:r>
        <w:separator/>
      </w:r>
    </w:p>
  </w:endnote>
  <w:endnote w:type="continuationSeparator" w:id="0">
    <w:p w:rsidR="005427D5" w:rsidRDefault="0054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9D" w:rsidRDefault="006B51D7">
    <w:pPr>
      <w:pStyle w:val="a5"/>
    </w:pPr>
    <w:r>
      <w:rPr>
        <w:noProof/>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-297815</wp:posOffset>
              </wp:positionV>
              <wp:extent cx="978535" cy="230505"/>
              <wp:effectExtent l="0" t="0" r="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69D" w:rsidRDefault="0015569D">
                          <w:pPr>
                            <w:pStyle w:val="a5"/>
                          </w:pPr>
                          <w:r>
                            <w:rPr>
                              <w:rFonts w:hint="eastAsia"/>
                              <w:color w:val="FFFFFF"/>
                              <w:sz w:val="28"/>
                              <w:szCs w:val="28"/>
                            </w:rPr>
                            <w:t>—</w:t>
                          </w: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B51D7">
                            <w:rPr>
                              <w:noProof/>
                              <w:sz w:val="28"/>
                              <w:szCs w:val="28"/>
                            </w:rPr>
                            <w:t>2</w:t>
                          </w:r>
                          <w:r>
                            <w:rPr>
                              <w:rFonts w:hint="eastAsia"/>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23.45pt;width:77.05pt;height:18.15pt;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3ABuQIAAKc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" filled="f" stroked="f">
              <v:textbox style="mso-fit-shape-to-text:t" inset="0,0,0,0">
                <w:txbxContent>
                  <w:p w:rsidR="0015569D" w:rsidRDefault="0015569D">
                    <w:pPr>
                      <w:pStyle w:val="a5"/>
                    </w:pPr>
                    <w:r>
                      <w:rPr>
                        <w:rFonts w:hint="eastAsia"/>
                        <w:color w:val="FFFFFF"/>
                        <w:sz w:val="28"/>
                        <w:szCs w:val="28"/>
                      </w:rPr>
                      <w:t>—</w:t>
                    </w: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B51D7">
                      <w:rPr>
                        <w:noProof/>
                        <w:sz w:val="28"/>
                        <w:szCs w:val="28"/>
                      </w:rPr>
                      <w:t>2</w:t>
                    </w:r>
                    <w:r>
                      <w:rPr>
                        <w:rFonts w:hint="eastAsia"/>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69D" w:rsidRDefault="006B51D7">
    <w:pPr>
      <w:pStyle w:val="a5"/>
    </w:pPr>
    <w:r>
      <w:rPr>
        <w:noProof/>
      </w:rPr>
      <mc:AlternateContent>
        <mc:Choice Requires="wps">
          <w:drawing>
            <wp:anchor distT="0" distB="0" distL="114300" distR="114300" simplePos="0" relativeHeight="251657216" behindDoc="0" locked="0" layoutInCell="1" allowOverlap="1">
              <wp:simplePos x="0" y="0"/>
              <wp:positionH relativeFrom="margin">
                <wp:posOffset>4638040</wp:posOffset>
              </wp:positionH>
              <wp:positionV relativeFrom="paragraph">
                <wp:posOffset>-297180</wp:posOffset>
              </wp:positionV>
              <wp:extent cx="978535" cy="230505"/>
              <wp:effectExtent l="0" t="0" r="63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69D" w:rsidRDefault="0015569D">
                          <w:pPr>
                            <w:pStyle w:val="a5"/>
                          </w:pPr>
                          <w:r>
                            <w:rPr>
                              <w:rFonts w:hint="eastAsia"/>
                              <w:color w:val="FFFFFF"/>
                              <w:sz w:val="28"/>
                              <w:szCs w:val="28"/>
                            </w:rPr>
                            <w:t>—</w:t>
                          </w: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B51D7">
                            <w:rPr>
                              <w:noProof/>
                              <w:sz w:val="28"/>
                              <w:szCs w:val="28"/>
                            </w:rPr>
                            <w:t>1</w:t>
                          </w:r>
                          <w:r>
                            <w:rPr>
                              <w:rFonts w:hint="eastAsia"/>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65.2pt;margin-top:-23.4pt;width:77.05pt;height:18.15pt;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" filled="f" stroked="f">
              <v:textbox style="mso-fit-shape-to-text:t" inset="0,0,0,0">
                <w:txbxContent>
                  <w:p w:rsidR="0015569D" w:rsidRDefault="0015569D">
                    <w:pPr>
                      <w:pStyle w:val="a5"/>
                    </w:pPr>
                    <w:r>
                      <w:rPr>
                        <w:rFonts w:hint="eastAsia"/>
                        <w:color w:val="FFFFFF"/>
                        <w:sz w:val="28"/>
                        <w:szCs w:val="28"/>
                      </w:rPr>
                      <w:t>—</w:t>
                    </w:r>
                    <w:r>
                      <w:rPr>
                        <w:rFonts w:hint="eastAsia"/>
                        <w:sz w:val="28"/>
                        <w:szCs w:val="28"/>
                      </w:rPr>
                      <w:t>—</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sidR="006B51D7">
                      <w:rPr>
                        <w:noProof/>
                        <w:sz w:val="28"/>
                        <w:szCs w:val="28"/>
                      </w:rPr>
                      <w:t>1</w:t>
                    </w:r>
                    <w:r>
                      <w:rPr>
                        <w:rFonts w:hint="eastAsia"/>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7D5" w:rsidRDefault="005427D5">
      <w:r>
        <w:separator/>
      </w:r>
    </w:p>
  </w:footnote>
  <w:footnote w:type="continuationSeparator" w:id="0">
    <w:p w:rsidR="005427D5" w:rsidRDefault="0054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5"/>
  <w:drawingGridVerticalSpacing w:val="158"/>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00016D27"/>
    <w:rsid w:val="00016E93"/>
    <w:rsid w:val="00051450"/>
    <w:rsid w:val="00071507"/>
    <w:rsid w:val="000A2989"/>
    <w:rsid w:val="000E0170"/>
    <w:rsid w:val="00101F08"/>
    <w:rsid w:val="0015569D"/>
    <w:rsid w:val="00157D65"/>
    <w:rsid w:val="00164368"/>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A48F4"/>
    <w:rsid w:val="004A5C4E"/>
    <w:rsid w:val="004D7576"/>
    <w:rsid w:val="004F27D3"/>
    <w:rsid w:val="0050179C"/>
    <w:rsid w:val="005410CE"/>
    <w:rsid w:val="005427D5"/>
    <w:rsid w:val="005455A8"/>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B51D7"/>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3A5C"/>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15D4F2D"/>
    <w:rsid w:val="0BEC7EA0"/>
    <w:rsid w:val="10A61A30"/>
    <w:rsid w:val="17DE334F"/>
    <w:rsid w:val="1B7FE5E7"/>
    <w:rsid w:val="1B90639D"/>
    <w:rsid w:val="1E825F95"/>
    <w:rsid w:val="2A8D465A"/>
    <w:rsid w:val="2FFCCFAA"/>
    <w:rsid w:val="33FD4443"/>
    <w:rsid w:val="3A9A5D2B"/>
    <w:rsid w:val="3FDFED3B"/>
    <w:rsid w:val="40191243"/>
    <w:rsid w:val="43E2636A"/>
    <w:rsid w:val="4C1A048F"/>
    <w:rsid w:val="4D2D1C40"/>
    <w:rsid w:val="4D771478"/>
    <w:rsid w:val="4E394635"/>
    <w:rsid w:val="557808D9"/>
    <w:rsid w:val="591D3208"/>
    <w:rsid w:val="597F9F67"/>
    <w:rsid w:val="5A5F6329"/>
    <w:rsid w:val="5BFD2962"/>
    <w:rsid w:val="5FBF4D48"/>
    <w:rsid w:val="63E446CD"/>
    <w:rsid w:val="6612040A"/>
    <w:rsid w:val="664EEFE6"/>
    <w:rsid w:val="67AA28E8"/>
    <w:rsid w:val="69597B89"/>
    <w:rsid w:val="6AE121A8"/>
    <w:rsid w:val="6FBF09CB"/>
    <w:rsid w:val="6FFEA6D9"/>
    <w:rsid w:val="75AB34BB"/>
    <w:rsid w:val="7B363D1C"/>
    <w:rsid w:val="7CBF8AD5"/>
    <w:rsid w:val="7D3121B4"/>
    <w:rsid w:val="7DF78091"/>
    <w:rsid w:val="7EBF7073"/>
    <w:rsid w:val="7F178CD9"/>
    <w:rsid w:val="7F4A7969"/>
    <w:rsid w:val="7F76980F"/>
    <w:rsid w:val="7FEFAD42"/>
    <w:rsid w:val="7FF77ED8"/>
    <w:rsid w:val="7FFDE505"/>
    <w:rsid w:val="7FFE9E9F"/>
    <w:rsid w:val="B9EF19C3"/>
    <w:rsid w:val="BBDB5459"/>
    <w:rsid w:val="CFA73457"/>
    <w:rsid w:val="DBFF6A81"/>
    <w:rsid w:val="E9FE76F6"/>
    <w:rsid w:val="EB6645F5"/>
    <w:rsid w:val="EC9F42CB"/>
    <w:rsid w:val="EFBF2868"/>
    <w:rsid w:val="F78FEC43"/>
    <w:rsid w:val="FADE2280"/>
    <w:rsid w:val="FB5B7263"/>
    <w:rsid w:val="FC5B0870"/>
    <w:rsid w:val="FE71D755"/>
    <w:rsid w:val="FEFEFED6"/>
    <w:rsid w:val="FF7F3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qFormat/>
    <w:rPr>
      <w:rFonts w:ascii="宋体" w:eastAsia="宋体" w:hAnsi="宋体" w:cs="宋体" w:hint="eastAsia"/>
      <w:color w:val="000000"/>
      <w:sz w:val="20"/>
      <w:szCs w:val="20"/>
      <w:u w:val="none"/>
    </w:rPr>
  </w:style>
  <w:style w:type="character" w:customStyle="1" w:styleId="Char">
    <w:name w:val="页眉 Char"/>
    <w:link w:val="a3"/>
    <w:uiPriority w:val="99"/>
    <w:rPr>
      <w:kern w:val="2"/>
      <w:sz w:val="18"/>
      <w:szCs w:val="18"/>
    </w:rPr>
  </w:style>
  <w:style w:type="character" w:customStyle="1" w:styleId="font51">
    <w:name w:val="font51"/>
    <w:qFormat/>
    <w:rPr>
      <w:rFonts w:ascii="宋体" w:eastAsia="宋体" w:hAnsi="宋体" w:cs="宋体" w:hint="eastAsia"/>
      <w:color w:val="000000"/>
      <w:sz w:val="20"/>
      <w:szCs w:val="20"/>
      <w:u w:val="none"/>
    </w:rPr>
  </w:style>
  <w:style w:type="character" w:styleId="a4">
    <w:name w:val="page number"/>
    <w:basedOn w:val="a0"/>
  </w:style>
  <w:style w:type="character" w:customStyle="1" w:styleId="Char0">
    <w:name w:val="页脚 Char"/>
    <w:link w:val="a5"/>
    <w:uiPriority w:val="99"/>
    <w:rPr>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41">
    <w:name w:val="font41"/>
    <w:qFormat/>
    <w:rPr>
      <w:rFonts w:ascii="宋体" w:eastAsia="宋体" w:hAnsi="宋体" w:cs="宋体" w:hint="eastAsia"/>
      <w:color w:val="000000"/>
      <w:sz w:val="20"/>
      <w:szCs w:val="20"/>
      <w:u w:val="none"/>
    </w:rPr>
  </w:style>
  <w:style w:type="character" w:customStyle="1" w:styleId="Char">
    <w:name w:val="页眉 Char"/>
    <w:link w:val="a3"/>
    <w:uiPriority w:val="99"/>
    <w:rPr>
      <w:kern w:val="2"/>
      <w:sz w:val="18"/>
      <w:szCs w:val="18"/>
    </w:rPr>
  </w:style>
  <w:style w:type="character" w:customStyle="1" w:styleId="font51">
    <w:name w:val="font51"/>
    <w:qFormat/>
    <w:rPr>
      <w:rFonts w:ascii="宋体" w:eastAsia="宋体" w:hAnsi="宋体" w:cs="宋体" w:hint="eastAsia"/>
      <w:color w:val="000000"/>
      <w:sz w:val="20"/>
      <w:szCs w:val="20"/>
      <w:u w:val="none"/>
    </w:rPr>
  </w:style>
  <w:style w:type="character" w:styleId="a4">
    <w:name w:val="page number"/>
    <w:basedOn w:val="a0"/>
  </w:style>
  <w:style w:type="character" w:customStyle="1" w:styleId="Char0">
    <w:name w:val="页脚 Char"/>
    <w:link w:val="a5"/>
    <w:uiPriority w:val="99"/>
    <w:rPr>
      <w:kern w:val="2"/>
      <w:sz w:val="18"/>
      <w:szCs w:val="18"/>
    </w:rPr>
  </w:style>
  <w:style w:type="character" w:customStyle="1" w:styleId="font11">
    <w:name w:val="font11"/>
    <w:qFormat/>
    <w:rPr>
      <w:rFonts w:ascii="宋体" w:eastAsia="宋体" w:hAnsi="宋体" w:cs="宋体" w:hint="eastAsia"/>
      <w:color w:val="000000"/>
      <w:sz w:val="20"/>
      <w:szCs w:val="20"/>
      <w:u w:val="none"/>
    </w:rPr>
  </w:style>
  <w:style w:type="character" w:customStyle="1" w:styleId="font21">
    <w:name w:val="font21"/>
    <w:qFormat/>
    <w:rPr>
      <w:rFonts w:ascii="宋体" w:eastAsia="宋体" w:hAnsi="宋体" w:cs="宋体" w:hint="eastAsia"/>
      <w:color w:val="000000"/>
      <w:sz w:val="20"/>
      <w:szCs w:val="20"/>
      <w:u w:val="none"/>
    </w:rPr>
  </w:style>
  <w:style w:type="paragraph" w:styleId="a3">
    <w:name w:val="header"/>
    <w:basedOn w:val="a"/>
    <w:link w:val="Char"/>
    <w:uiPriority w:val="99"/>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Document Map"/>
    <w:basedOn w:val="a"/>
    <w:semiHidden/>
    <w:pPr>
      <w:shd w:val="clear" w:color="auto" w:fill="000080"/>
    </w:pPr>
  </w:style>
  <w:style w:type="paragraph" w:styleId="a7">
    <w:name w:val="Balloon Text"/>
    <w:basedOn w:val="a"/>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352</Words>
  <Characters>2007</Characters>
  <Application>Microsoft Office Word</Application>
  <DocSecurity>0</DocSecurity>
  <Lines>16</Lines>
  <Paragraphs>4</Paragraphs>
  <ScaleCrop>false</ScaleCrop>
  <Company>Xtzj.Com</Company>
  <LinksUpToDate>false</LinksUpToDate>
  <CharactersWithSpaces>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creator>Xtzj.User</dc:creator>
  <cp:lastModifiedBy>Y</cp:lastModifiedBy>
  <cp:revision>2</cp:revision>
  <cp:lastPrinted>2020-12-31T01:39:00Z</cp:lastPrinted>
  <dcterms:created xsi:type="dcterms:W3CDTF">2021-01-04T01:15:00Z</dcterms:created>
  <dcterms:modified xsi:type="dcterms:W3CDTF">2021-01-04T01:15:00Z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